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9240" w:type="dxa"/>
        <w:tblLayout w:type="fixed"/>
        <w:tblCellMar>
          <w:left w:w="0" w:type="dxa"/>
          <w:right w:w="0" w:type="dxa"/>
        </w:tblCellMar>
        <w:tblLook w:val="04A0" w:firstRow="1" w:lastRow="0" w:firstColumn="1" w:lastColumn="0" w:noHBand="0" w:noVBand="1"/>
      </w:tblPr>
      <w:tblGrid>
        <w:gridCol w:w="4565"/>
        <w:gridCol w:w="4675"/>
      </w:tblGrid>
      <w:tr w:rsidR="000266D1" w:rsidTr="000266D1">
        <w:tc>
          <w:tcPr>
            <w:tcW w:w="4570" w:type="dxa"/>
            <w:vAlign w:val="center"/>
            <w:hideMark/>
          </w:tcPr>
          <w:p w:rsidR="000266D1" w:rsidRDefault="000266D1">
            <w:pPr>
              <w:rPr>
                <w:sz w:val="36"/>
              </w:rPr>
            </w:pPr>
            <w:bookmarkStart w:id="0" w:name="_GoBack"/>
            <w:bookmarkEnd w:id="0"/>
            <w:r>
              <w:rPr>
                <w:noProof/>
              </w:rPr>
              <w:drawing>
                <wp:inline distT="0" distB="0" distL="0" distR="0">
                  <wp:extent cx="1257300" cy="723900"/>
                  <wp:effectExtent l="0" t="0" r="0" b="0"/>
                  <wp:docPr id="1" name="Grafik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logo"/>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257300" cy="723900"/>
                          </a:xfrm>
                          <a:prstGeom prst="rect">
                            <a:avLst/>
                          </a:prstGeom>
                          <a:noFill/>
                          <a:ln>
                            <a:noFill/>
                          </a:ln>
                        </pic:spPr>
                      </pic:pic>
                    </a:graphicData>
                  </a:graphic>
                </wp:inline>
              </w:drawing>
            </w:r>
          </w:p>
        </w:tc>
        <w:tc>
          <w:tcPr>
            <w:tcW w:w="4680" w:type="dxa"/>
          </w:tcPr>
          <w:p w:rsidR="000266D1" w:rsidRDefault="000266D1">
            <w:pPr>
              <w:jc w:val="right"/>
              <w:rPr>
                <w:sz w:val="36"/>
              </w:rPr>
            </w:pPr>
          </w:p>
          <w:p w:rsidR="000266D1" w:rsidRDefault="000266D1">
            <w:pPr>
              <w:jc w:val="right"/>
            </w:pPr>
            <w:r>
              <w:rPr>
                <w:sz w:val="36"/>
              </w:rPr>
              <w:t>Stadt Bad Oeynhausen</w:t>
            </w:r>
            <w:r>
              <w:br/>
            </w:r>
            <w:r>
              <w:rPr>
                <w:sz w:val="24"/>
              </w:rPr>
              <w:t>Der Bürgermeister</w:t>
            </w:r>
          </w:p>
        </w:tc>
      </w:tr>
    </w:tbl>
    <w:p w:rsidR="000266D1" w:rsidRDefault="000266D1" w:rsidP="000266D1"/>
    <w:p w:rsidR="000266D1" w:rsidRDefault="000266D1" w:rsidP="000266D1">
      <w:pPr>
        <w:pStyle w:val="berschrift1"/>
        <w:jc w:val="center"/>
      </w:pPr>
      <w:r>
        <w:t>Amtliche Bekanntmachung</w:t>
      </w:r>
    </w:p>
    <w:p w:rsidR="000266D1" w:rsidRDefault="000266D1" w:rsidP="000266D1"/>
    <w:p w:rsidR="000266D1" w:rsidRDefault="000266D1" w:rsidP="000266D1">
      <w:pPr>
        <w:rPr>
          <w:szCs w:val="22"/>
        </w:rPr>
      </w:pPr>
      <w:r>
        <w:t xml:space="preserve">Die </w:t>
      </w:r>
      <w:r>
        <w:rPr>
          <w:noProof/>
          <w:szCs w:val="22"/>
        </w:rPr>
        <w:t>10. Sitzung des Rates der Stadt Bad Oeynhausen</w:t>
      </w:r>
      <w:r>
        <w:rPr>
          <w:szCs w:val="22"/>
        </w:rPr>
        <w:t xml:space="preserve"> in der 11. Wahlperiode findet am</w:t>
      </w:r>
    </w:p>
    <w:p w:rsidR="000266D1" w:rsidRDefault="000266D1" w:rsidP="000266D1">
      <w:pPr>
        <w:rPr>
          <w:szCs w:val="22"/>
        </w:rPr>
      </w:pPr>
    </w:p>
    <w:p w:rsidR="000266D1" w:rsidRDefault="000266D1" w:rsidP="000266D1">
      <w:pPr>
        <w:ind w:firstLine="708"/>
        <w:jc w:val="center"/>
        <w:rPr>
          <w:b/>
          <w:bCs/>
          <w:sz w:val="28"/>
        </w:rPr>
      </w:pPr>
      <w:r>
        <w:rPr>
          <w:b/>
          <w:bCs/>
          <w:noProof/>
          <w:sz w:val="28"/>
          <w:szCs w:val="22"/>
        </w:rPr>
        <w:t>Mittwoch</w:t>
      </w:r>
      <w:r>
        <w:rPr>
          <w:b/>
          <w:bCs/>
          <w:sz w:val="28"/>
          <w:szCs w:val="22"/>
        </w:rPr>
        <w:t xml:space="preserve">, </w:t>
      </w:r>
      <w:r>
        <w:rPr>
          <w:b/>
          <w:bCs/>
          <w:sz w:val="28"/>
        </w:rPr>
        <w:t xml:space="preserve">den </w:t>
      </w:r>
      <w:r>
        <w:rPr>
          <w:b/>
          <w:bCs/>
          <w:noProof/>
          <w:sz w:val="28"/>
          <w:szCs w:val="22"/>
        </w:rPr>
        <w:t>04.05.2022</w:t>
      </w:r>
      <w:r>
        <w:rPr>
          <w:b/>
          <w:bCs/>
          <w:sz w:val="28"/>
          <w:szCs w:val="22"/>
        </w:rPr>
        <w:t xml:space="preserve">, </w:t>
      </w:r>
      <w:r>
        <w:rPr>
          <w:b/>
          <w:bCs/>
          <w:noProof/>
          <w:sz w:val="28"/>
          <w:szCs w:val="22"/>
        </w:rPr>
        <w:t>17:00</w:t>
      </w:r>
      <w:r>
        <w:rPr>
          <w:b/>
          <w:bCs/>
          <w:sz w:val="28"/>
        </w:rPr>
        <w:t> Uhr,</w:t>
      </w:r>
    </w:p>
    <w:p w:rsidR="000266D1" w:rsidRDefault="000266D1" w:rsidP="000266D1">
      <w:pPr>
        <w:ind w:firstLine="708"/>
      </w:pPr>
    </w:p>
    <w:p w:rsidR="000266D1" w:rsidRDefault="000266D1" w:rsidP="000266D1">
      <w:r>
        <w:t xml:space="preserve">im </w:t>
      </w:r>
      <w:r>
        <w:rPr>
          <w:noProof/>
          <w:szCs w:val="22"/>
        </w:rPr>
        <w:t>Veranstaltungszentrum Bürgerhaus in Rehme, Hermann-Löns-Straße 28, 32547 Bad Oeynhausen</w:t>
      </w:r>
      <w:r>
        <w:t xml:space="preserve"> statt.</w:t>
      </w:r>
    </w:p>
    <w:p w:rsidR="000266D1" w:rsidRDefault="000266D1" w:rsidP="000266D1">
      <w:pPr>
        <w:rPr>
          <w:sz w:val="24"/>
        </w:rPr>
      </w:pPr>
    </w:p>
    <w:p w:rsidR="000266D1" w:rsidRDefault="000266D1" w:rsidP="000266D1">
      <w:pPr>
        <w:pStyle w:val="berschrift2"/>
      </w:pPr>
      <w:r>
        <w:t>Tagesordnung:</w:t>
      </w:r>
    </w:p>
    <w:p w:rsidR="000266D1" w:rsidRDefault="000266D1" w:rsidP="000266D1"/>
    <w:p w:rsidR="000266D1" w:rsidRDefault="000266D1" w:rsidP="000266D1">
      <w:pPr>
        <w:spacing w:before="60" w:after="60"/>
        <w:rPr>
          <w:b/>
        </w:rPr>
      </w:pPr>
      <w:r>
        <w:rPr>
          <w:b/>
        </w:rPr>
        <w:t>Öffentlicher Teil</w:t>
      </w: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w:t>
            </w:r>
          </w:p>
        </w:tc>
        <w:tc>
          <w:tcPr>
            <w:tcW w:w="8647" w:type="dxa"/>
          </w:tcPr>
          <w:p w:rsidR="000266D1" w:rsidRDefault="000266D1">
            <w:r>
              <w:t xml:space="preserve">Formalien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w:t>
            </w:r>
          </w:p>
        </w:tc>
        <w:tc>
          <w:tcPr>
            <w:tcW w:w="8647" w:type="dxa"/>
          </w:tcPr>
          <w:p w:rsidR="000266D1" w:rsidRDefault="000266D1">
            <w:r>
              <w:t xml:space="preserve">Mündliche Anfragen von Einwohnern (Beschränkung auf höchstens 30 Minuten)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3</w:t>
            </w:r>
          </w:p>
        </w:tc>
        <w:tc>
          <w:tcPr>
            <w:tcW w:w="8647" w:type="dxa"/>
          </w:tcPr>
          <w:p w:rsidR="000266D1" w:rsidRDefault="000266D1">
            <w:r>
              <w:t>57. Änderung des Flächennutzungsplanes der Stadt Bad Oeynhausen - Denios;</w:t>
            </w:r>
            <w:r>
              <w:br/>
              <w:t>1. Beratung der eingegangenen Stellungnahmen</w:t>
            </w:r>
            <w:r>
              <w:br/>
              <w:t xml:space="preserve">2. Feststellungsbeschluss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4</w:t>
            </w:r>
          </w:p>
        </w:tc>
        <w:tc>
          <w:tcPr>
            <w:tcW w:w="8647" w:type="dxa"/>
          </w:tcPr>
          <w:p w:rsidR="000266D1" w:rsidRDefault="000266D1">
            <w:r>
              <w:t>Neubau einer Nahmobilitätsbrücke sowie einer Radwegverbindung "In der Ahe";</w:t>
            </w:r>
            <w:r>
              <w:br/>
              <w:t xml:space="preserve">Vergabe der Bauleistung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5</w:t>
            </w:r>
          </w:p>
        </w:tc>
        <w:tc>
          <w:tcPr>
            <w:tcW w:w="8647" w:type="dxa"/>
          </w:tcPr>
          <w:p w:rsidR="000266D1" w:rsidRDefault="000266D1">
            <w:r>
              <w:t>Aufwertung Weser-Radweg und Aufenthaltsbereiche zwischen "Altem Fährhaus" und "Werre-Weser-Kuss";</w:t>
            </w:r>
            <w:r>
              <w:br/>
              <w:t xml:space="preserve">Zusätzliche Bereitstellung von Haushaltsmitteln und Vergabeermächtigung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6</w:t>
            </w:r>
          </w:p>
        </w:tc>
        <w:tc>
          <w:tcPr>
            <w:tcW w:w="8647" w:type="dxa"/>
          </w:tcPr>
          <w:p w:rsidR="000266D1" w:rsidRDefault="000266D1">
            <w:r>
              <w:t xml:space="preserve">Konzept zum Austausch abgängiger Beleuchtungsmasten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7</w:t>
            </w:r>
          </w:p>
        </w:tc>
        <w:tc>
          <w:tcPr>
            <w:tcW w:w="8647" w:type="dxa"/>
          </w:tcPr>
          <w:p w:rsidR="000266D1" w:rsidRDefault="000266D1">
            <w:r>
              <w:t xml:space="preserve">Integriertes Städtebauliches Entwicklungskonzept (ISEK) "Mindener Straße-Nordbahn-Innenstadt" </w:t>
            </w:r>
            <w:r>
              <w:br/>
              <w:t>Maßnahme A2 - Vorbereitende Untersuchungen Sanierungsgebiet Innenstadt-Zentrum;</w:t>
            </w:r>
            <w:r>
              <w:br/>
              <w:t xml:space="preserve">Durchführungsbeschluss und Festlegung des Untersuchungsgebietes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8</w:t>
            </w:r>
          </w:p>
        </w:tc>
        <w:tc>
          <w:tcPr>
            <w:tcW w:w="8647" w:type="dxa"/>
          </w:tcPr>
          <w:p w:rsidR="000266D1" w:rsidRDefault="000266D1">
            <w:r>
              <w:t xml:space="preserve">Aufstellung der 1. Änderung des Bebauungsplanes Nr. 29 "Wohnen östlich der Theodor-Heuss-Str." der Stadt Bad Oeynhausen im beschleunigten Verfahren gem. § 13a BauGB - Aufstellungsbeschluss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lastRenderedPageBreak/>
              <w:t>9</w:t>
            </w:r>
          </w:p>
        </w:tc>
        <w:tc>
          <w:tcPr>
            <w:tcW w:w="8647" w:type="dxa"/>
          </w:tcPr>
          <w:p w:rsidR="000266D1" w:rsidRDefault="000266D1">
            <w:r>
              <w:t>53. Änderung des Flächennutzungsplanes der Stadt Bad Oeynhausen "Langenhagen";</w:t>
            </w:r>
            <w:r>
              <w:br/>
              <w:t>1. Beratung der eingegangenen Stellungnahmen der Beteiligungen gem. §§ 3 (1) u. 4 (1) BauGB</w:t>
            </w:r>
            <w:r>
              <w:br/>
              <w:t>2. Beratung der eingegangenen Stellungnahmen der Beteiligungen gem. §§ 3 (2) u. 4 (2) BauGB</w:t>
            </w:r>
            <w:r>
              <w:br/>
              <w:t xml:space="preserve">3. Feststellungsbeschluss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10</w:t>
            </w:r>
          </w:p>
        </w:tc>
        <w:tc>
          <w:tcPr>
            <w:tcW w:w="8647" w:type="dxa"/>
          </w:tcPr>
          <w:p w:rsidR="000266D1" w:rsidRDefault="000266D1">
            <w:r>
              <w:t xml:space="preserve">Aufstellung des Bebauungsplanes Nr. 126 "Langenhagen" der Stadt Bad Oeynhausen; </w:t>
            </w:r>
            <w:r>
              <w:br/>
              <w:t>1. Beratung der eingegangenen Stellungnahmen gem. §§ 3 (1) u. 4 (1) BauGB</w:t>
            </w:r>
            <w:r>
              <w:br/>
              <w:t>2. Beratung der eingegangenen Stellungnahmen gem. §§ 3 (2) u. 4 (2) BauGB</w:t>
            </w:r>
            <w:r>
              <w:br/>
              <w:t xml:space="preserve">3. Satzungsbeschluss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11</w:t>
            </w:r>
          </w:p>
        </w:tc>
        <w:tc>
          <w:tcPr>
            <w:tcW w:w="8647" w:type="dxa"/>
          </w:tcPr>
          <w:p w:rsidR="000266D1" w:rsidRDefault="000266D1">
            <w:r>
              <w:t xml:space="preserve">Vergabe der europaweiten Ausschreibung der Unterhaltsreinigung für 7 städtische Objekte in 2 Losen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12</w:t>
            </w:r>
          </w:p>
        </w:tc>
        <w:tc>
          <w:tcPr>
            <w:tcW w:w="8647" w:type="dxa"/>
          </w:tcPr>
          <w:p w:rsidR="000266D1" w:rsidRDefault="000266D1">
            <w:r>
              <w:t>Aufstellung der 3. Änderung des Bebauungsplanes Nr. 5 "Am Hambkebach" der Stadt Bad Oeynhausen;</w:t>
            </w:r>
            <w:r>
              <w:br/>
              <w:t>a.)</w:t>
            </w:r>
            <w:r>
              <w:br/>
              <w:t>Beratung der Anregungen aus der Beteiligung der Öffentlichkeit sowie der Behörden und sonstigen Trägern öffentlicher Belange</w:t>
            </w:r>
            <w:r>
              <w:br/>
              <w:t xml:space="preserve">b.) </w:t>
            </w:r>
            <w:r>
              <w:br/>
              <w:t>Satzungsbeschluss</w:t>
            </w:r>
            <w:r>
              <w:br/>
              <w:t>c.)</w:t>
            </w:r>
            <w:r>
              <w:br/>
              <w:t xml:space="preserve">Beschluss über die Anpassung des Flächennutzungsplanes gem. § 13a Abs. 2 Nr. 2 BauGB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13</w:t>
            </w:r>
          </w:p>
        </w:tc>
        <w:tc>
          <w:tcPr>
            <w:tcW w:w="8647" w:type="dxa"/>
          </w:tcPr>
          <w:p w:rsidR="000266D1" w:rsidRDefault="000266D1">
            <w:r>
              <w:t xml:space="preserve">Konkrete personelle Zusammensetzung der Ausschüsse; hier: Umbesetzung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14</w:t>
            </w:r>
          </w:p>
        </w:tc>
        <w:tc>
          <w:tcPr>
            <w:tcW w:w="8647" w:type="dxa"/>
          </w:tcPr>
          <w:p w:rsidR="000266D1" w:rsidRDefault="000266D1">
            <w:r>
              <w:t xml:space="preserve">Änderung der Zuständigkeitsregelungen für die Ausschüsse des Rates der Stadt Bad Oeynhausen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15</w:t>
            </w:r>
          </w:p>
        </w:tc>
        <w:tc>
          <w:tcPr>
            <w:tcW w:w="8647" w:type="dxa"/>
          </w:tcPr>
          <w:p w:rsidR="000266D1" w:rsidRDefault="000266D1">
            <w:r>
              <w:t xml:space="preserve">Neufassung der Musikschulordnung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16</w:t>
            </w:r>
          </w:p>
        </w:tc>
        <w:tc>
          <w:tcPr>
            <w:tcW w:w="8647" w:type="dxa"/>
          </w:tcPr>
          <w:p w:rsidR="000266D1" w:rsidRDefault="000266D1">
            <w:r>
              <w:t xml:space="preserve">Neufassung der Gebührensatzung der Musikschule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17</w:t>
            </w:r>
          </w:p>
        </w:tc>
        <w:tc>
          <w:tcPr>
            <w:tcW w:w="8647" w:type="dxa"/>
          </w:tcPr>
          <w:p w:rsidR="000266D1" w:rsidRDefault="000266D1">
            <w:r>
              <w:t xml:space="preserve">3. Änderung der Satzung der Stadt Bad Oeynhausen über die Errichtung, Unterhaltung und Benutzung der Unterkünfte für ausländische Flüchtlinge, Obdachlose und Spätaussiedler und über die Erhebung von Gebühren für die Benutzung dieser Unterkünfte vom 29.06.2017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18</w:t>
            </w:r>
          </w:p>
        </w:tc>
        <w:tc>
          <w:tcPr>
            <w:tcW w:w="8647" w:type="dxa"/>
          </w:tcPr>
          <w:p w:rsidR="000266D1" w:rsidRDefault="000266D1">
            <w:r>
              <w:t xml:space="preserve">Beschaffung von 3 Rettungstransportwagen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19</w:t>
            </w:r>
          </w:p>
        </w:tc>
        <w:tc>
          <w:tcPr>
            <w:tcW w:w="8647" w:type="dxa"/>
          </w:tcPr>
          <w:p w:rsidR="000266D1" w:rsidRDefault="000266D1">
            <w:r>
              <w:t xml:space="preserve">Berichterstattung über die wirtschaftliche Entwicklung der Stadtwerke Bad Oeynhausen AöR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lastRenderedPageBreak/>
              <w:t>20</w:t>
            </w:r>
          </w:p>
        </w:tc>
        <w:tc>
          <w:tcPr>
            <w:tcW w:w="8647" w:type="dxa"/>
          </w:tcPr>
          <w:p w:rsidR="000266D1" w:rsidRDefault="000266D1">
            <w:r>
              <w:t xml:space="preserve">Gründung der Gesellschaft "Westfalen Weser Mobilität" als Tochtergesellschaft der Westfalen Weser Beteiligungen GmbH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21</w:t>
            </w:r>
          </w:p>
        </w:tc>
        <w:tc>
          <w:tcPr>
            <w:tcW w:w="8647" w:type="dxa"/>
          </w:tcPr>
          <w:p w:rsidR="000266D1" w:rsidRDefault="000266D1">
            <w:r>
              <w:t xml:space="preserve">Entwurf des Gesamtabschlusses der Stadt Bad Oeynhausen zum 31.12.2018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22</w:t>
            </w:r>
          </w:p>
        </w:tc>
        <w:tc>
          <w:tcPr>
            <w:tcW w:w="8647" w:type="dxa"/>
          </w:tcPr>
          <w:p w:rsidR="000266D1" w:rsidRDefault="000266D1">
            <w:r>
              <w:t xml:space="preserve">Genehmigung von Dringlichkeitsentscheidungen gem. § 60 Abs. 1 GO NRW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23</w:t>
            </w:r>
          </w:p>
        </w:tc>
        <w:tc>
          <w:tcPr>
            <w:tcW w:w="8647" w:type="dxa"/>
          </w:tcPr>
          <w:p w:rsidR="000266D1" w:rsidRDefault="000266D1">
            <w:r>
              <w:t xml:space="preserve">Schriftliche Bekanntgaben - öffentliche Sitzung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24</w:t>
            </w:r>
          </w:p>
        </w:tc>
        <w:tc>
          <w:tcPr>
            <w:tcW w:w="8647" w:type="dxa"/>
          </w:tcPr>
          <w:p w:rsidR="000266D1" w:rsidRDefault="000266D1">
            <w:r>
              <w:t xml:space="preserve">Bekanntgaben und Anfragen - öffentliche Sitzung </w:t>
            </w:r>
          </w:p>
          <w:p w:rsidR="000266D1" w:rsidRDefault="000266D1">
            <w:pPr>
              <w:jc w:val="right"/>
              <w:rPr>
                <w:b/>
                <w:bCs/>
                <w:sz w:val="18"/>
              </w:rPr>
            </w:pPr>
          </w:p>
        </w:tc>
      </w:tr>
    </w:tbl>
    <w:p w:rsidR="000266D1" w:rsidRDefault="000266D1" w:rsidP="000266D1">
      <w:pPr>
        <w:pStyle w:val="Kommentartext"/>
        <w:rPr>
          <w:sz w:val="8"/>
          <w:szCs w:val="8"/>
        </w:rPr>
      </w:pPr>
    </w:p>
    <w:p w:rsidR="000266D1" w:rsidRDefault="000266D1" w:rsidP="000266D1">
      <w:pPr>
        <w:spacing w:before="60" w:after="60"/>
        <w:rPr>
          <w:b/>
        </w:rPr>
      </w:pPr>
      <w:r>
        <w:rPr>
          <w:b/>
        </w:rPr>
        <w:t>Nichtöffentlicher Teil</w:t>
      </w: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25</w:t>
            </w:r>
          </w:p>
        </w:tc>
        <w:tc>
          <w:tcPr>
            <w:tcW w:w="8647" w:type="dxa"/>
          </w:tcPr>
          <w:p w:rsidR="000266D1" w:rsidRDefault="000266D1">
            <w:r>
              <w:t xml:space="preserve">Rückbau alte B61 und Neubau Radschnellweg RS3; Vergabe der Planungsleistungen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26</w:t>
            </w:r>
          </w:p>
        </w:tc>
        <w:tc>
          <w:tcPr>
            <w:tcW w:w="8647" w:type="dxa"/>
          </w:tcPr>
          <w:p w:rsidR="000266D1" w:rsidRDefault="000266D1">
            <w:r>
              <w:t xml:space="preserve">Genehmigung von Dringlichkeitsentscheidungen gem. § 60 Abs. 1 GO NRW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26.1</w:t>
            </w:r>
          </w:p>
        </w:tc>
        <w:tc>
          <w:tcPr>
            <w:tcW w:w="8647" w:type="dxa"/>
          </w:tcPr>
          <w:p w:rsidR="000266D1" w:rsidRDefault="000266D1">
            <w:r>
              <w:t>Genehmigung einer Dringlichkeitsentscheidung gem. § 60 Abs. 1 GO NRW;</w:t>
            </w:r>
            <w:r>
              <w:br/>
              <w:t>Sielwehrbrücke - Bau einer Nahmobilitätsbrücke für den Alltagsradverkehr im Bereich des Sielwehres;</w:t>
            </w:r>
            <w:r>
              <w:br/>
              <w:t xml:space="preserve">hier: Lieferengpässe und Preissteigerungen wichtiger Baumaterialien als Folge des Ukrainekrieges - Auswirkungen auf die Baumaßnahme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27</w:t>
            </w:r>
          </w:p>
        </w:tc>
        <w:tc>
          <w:tcPr>
            <w:tcW w:w="8647" w:type="dxa"/>
          </w:tcPr>
          <w:p w:rsidR="000266D1" w:rsidRDefault="000266D1">
            <w:r>
              <w:t xml:space="preserve">Schriftliche Bekanntgaben - nichtöffentliche Sitzung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r>
              <w:t>28</w:t>
            </w:r>
          </w:p>
        </w:tc>
        <w:tc>
          <w:tcPr>
            <w:tcW w:w="8647" w:type="dxa"/>
          </w:tcPr>
          <w:p w:rsidR="000266D1" w:rsidRDefault="000266D1">
            <w:r>
              <w:t xml:space="preserve">Bekanntgaben und Anfragen - nichtöffentliche Sitzung </w:t>
            </w:r>
          </w:p>
          <w:p w:rsidR="000266D1" w:rsidRDefault="000266D1">
            <w:pPr>
              <w:jc w:val="right"/>
              <w:rPr>
                <w:b/>
                <w:bCs/>
                <w:sz w:val="18"/>
              </w:rPr>
            </w:pPr>
          </w:p>
        </w:tc>
      </w:tr>
    </w:tbl>
    <w:p w:rsidR="000266D1" w:rsidRDefault="000266D1" w:rsidP="000266D1">
      <w:pPr>
        <w:pStyle w:val="Kommentartext"/>
        <w:rPr>
          <w:sz w:val="8"/>
          <w:szCs w:val="8"/>
        </w:rPr>
      </w:pPr>
    </w:p>
    <w:tbl>
      <w:tblPr>
        <w:tblW w:w="9420" w:type="dxa"/>
        <w:tblInd w:w="-71" w:type="dxa"/>
        <w:tblLayout w:type="fixed"/>
        <w:tblCellMar>
          <w:left w:w="0" w:type="dxa"/>
          <w:right w:w="0" w:type="dxa"/>
        </w:tblCellMar>
        <w:tblLook w:val="04A0" w:firstRow="1" w:lastRow="0" w:firstColumn="1" w:lastColumn="0" w:noHBand="0" w:noVBand="1"/>
      </w:tblPr>
      <w:tblGrid>
        <w:gridCol w:w="779"/>
        <w:gridCol w:w="8641"/>
      </w:tblGrid>
      <w:tr w:rsidR="000266D1" w:rsidTr="000266D1">
        <w:trPr>
          <w:cantSplit/>
        </w:trPr>
        <w:tc>
          <w:tcPr>
            <w:tcW w:w="780" w:type="dxa"/>
            <w:hideMark/>
          </w:tcPr>
          <w:p w:rsidR="000266D1" w:rsidRDefault="000266D1">
            <w:pPr>
              <w:tabs>
                <w:tab w:val="left" w:pos="630"/>
              </w:tabs>
            </w:pPr>
            <w:bookmarkStart w:id="1" w:name="Nummer" w:colFirst="0" w:colLast="0"/>
            <w:r>
              <w:t>29</w:t>
            </w:r>
          </w:p>
        </w:tc>
        <w:tc>
          <w:tcPr>
            <w:tcW w:w="8647" w:type="dxa"/>
          </w:tcPr>
          <w:p w:rsidR="000266D1" w:rsidRDefault="000266D1">
            <w:bookmarkStart w:id="2" w:name="Text"/>
            <w:bookmarkEnd w:id="2"/>
            <w:r>
              <w:t xml:space="preserve">Veröffentlichung der in nichtöffentlicher Sitzung gefassten Beschlüsse </w:t>
            </w:r>
          </w:p>
          <w:p w:rsidR="000266D1" w:rsidRDefault="000266D1">
            <w:pPr>
              <w:jc w:val="right"/>
              <w:rPr>
                <w:b/>
                <w:bCs/>
                <w:sz w:val="18"/>
              </w:rPr>
            </w:pPr>
          </w:p>
        </w:tc>
      </w:tr>
      <w:bookmarkEnd w:id="1"/>
    </w:tbl>
    <w:p w:rsidR="000266D1" w:rsidRDefault="000266D1" w:rsidP="000266D1">
      <w:pPr>
        <w:pStyle w:val="Kommentartext"/>
        <w:rPr>
          <w:sz w:val="8"/>
          <w:szCs w:val="8"/>
        </w:rPr>
      </w:pPr>
    </w:p>
    <w:p w:rsidR="000266D1" w:rsidRDefault="000266D1" w:rsidP="000266D1">
      <w:bookmarkStart w:id="3" w:name="Tagesordnung"/>
      <w:bookmarkEnd w:id="3"/>
    </w:p>
    <w:p w:rsidR="000266D1" w:rsidRDefault="000266D1" w:rsidP="000266D1"/>
    <w:p w:rsidR="000266D1" w:rsidRDefault="000266D1" w:rsidP="000266D1">
      <w:r>
        <w:t>Bökenkröger</w:t>
      </w:r>
    </w:p>
    <w:p w:rsidR="000266D1" w:rsidRDefault="000266D1" w:rsidP="000266D1">
      <w:pPr>
        <w:spacing w:before="120" w:after="120"/>
      </w:pPr>
      <w:r>
        <w:t>Bürgermeister</w:t>
      </w:r>
    </w:p>
    <w:p w:rsidR="00DA4824" w:rsidRPr="00F67586" w:rsidRDefault="00DA4824" w:rsidP="000C1F76"/>
    <w:sectPr w:rsidR="00DA4824" w:rsidRPr="00F67586">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0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66D1"/>
    <w:rsid w:val="000266D1"/>
    <w:rsid w:val="000502A0"/>
    <w:rsid w:val="000C1F76"/>
    <w:rsid w:val="00106733"/>
    <w:rsid w:val="002C2048"/>
    <w:rsid w:val="003438F7"/>
    <w:rsid w:val="0047037B"/>
    <w:rsid w:val="004E4B80"/>
    <w:rsid w:val="005217A6"/>
    <w:rsid w:val="006D4245"/>
    <w:rsid w:val="008C1570"/>
    <w:rsid w:val="00915F98"/>
    <w:rsid w:val="00A402D7"/>
    <w:rsid w:val="00BC7BCE"/>
    <w:rsid w:val="00DA4824"/>
    <w:rsid w:val="00F6758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B749504-6185-4F98-AAE4-44C735F85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Theme="minorHAnsi" w:hAnsi="Verdana"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266D1"/>
    <w:pPr>
      <w:spacing w:after="0" w:line="240" w:lineRule="auto"/>
    </w:pPr>
    <w:rPr>
      <w:rFonts w:eastAsia="Times New Roman" w:cs="Times New Roman"/>
      <w:szCs w:val="24"/>
      <w:lang w:eastAsia="de-DE"/>
    </w:rPr>
  </w:style>
  <w:style w:type="paragraph" w:styleId="berschrift1">
    <w:name w:val="heading 1"/>
    <w:basedOn w:val="Standard"/>
    <w:next w:val="Standard"/>
    <w:link w:val="berschrift1Zchn"/>
    <w:qFormat/>
    <w:rsid w:val="000266D1"/>
    <w:pPr>
      <w:outlineLvl w:val="0"/>
    </w:pPr>
    <w:rPr>
      <w:rFonts w:cs="Arial"/>
      <w:b/>
      <w:bCs/>
      <w:sz w:val="32"/>
      <w:szCs w:val="32"/>
    </w:rPr>
  </w:style>
  <w:style w:type="paragraph" w:styleId="berschrift2">
    <w:name w:val="heading 2"/>
    <w:basedOn w:val="Standard"/>
    <w:next w:val="Standard"/>
    <w:link w:val="berschrift2Zchn"/>
    <w:semiHidden/>
    <w:unhideWhenUsed/>
    <w:qFormat/>
    <w:rsid w:val="000266D1"/>
    <w:pPr>
      <w:outlineLvl w:val="1"/>
    </w:pPr>
    <w:rPr>
      <w:rFonts w:cs="Arial"/>
      <w:b/>
      <w:bCs/>
      <w:i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0266D1"/>
    <w:rPr>
      <w:rFonts w:eastAsia="Times New Roman" w:cs="Arial"/>
      <w:b/>
      <w:bCs/>
      <w:sz w:val="32"/>
      <w:szCs w:val="32"/>
      <w:lang w:eastAsia="de-DE"/>
    </w:rPr>
  </w:style>
  <w:style w:type="character" w:customStyle="1" w:styleId="berschrift2Zchn">
    <w:name w:val="Überschrift 2 Zchn"/>
    <w:basedOn w:val="Absatz-Standardschriftart"/>
    <w:link w:val="berschrift2"/>
    <w:semiHidden/>
    <w:rsid w:val="000266D1"/>
    <w:rPr>
      <w:rFonts w:eastAsia="Times New Roman" w:cs="Arial"/>
      <w:b/>
      <w:bCs/>
      <w:iCs/>
      <w:sz w:val="28"/>
      <w:szCs w:val="28"/>
      <w:lang w:eastAsia="de-DE"/>
    </w:rPr>
  </w:style>
  <w:style w:type="paragraph" w:styleId="Kommentartext">
    <w:name w:val="annotation text"/>
    <w:basedOn w:val="Standard"/>
    <w:link w:val="KommentartextZchn"/>
    <w:semiHidden/>
    <w:unhideWhenUsed/>
    <w:rsid w:val="000266D1"/>
    <w:pPr>
      <w:overflowPunct w:val="0"/>
      <w:autoSpaceDE w:val="0"/>
      <w:autoSpaceDN w:val="0"/>
      <w:adjustRightInd w:val="0"/>
    </w:pPr>
    <w:rPr>
      <w:rFonts w:ascii="Arial" w:hAnsi="Arial"/>
      <w:sz w:val="20"/>
      <w:szCs w:val="20"/>
    </w:rPr>
  </w:style>
  <w:style w:type="character" w:customStyle="1" w:styleId="KommentartextZchn">
    <w:name w:val="Kommentartext Zchn"/>
    <w:basedOn w:val="Absatz-Standardschriftart"/>
    <w:link w:val="Kommentartext"/>
    <w:semiHidden/>
    <w:rsid w:val="000266D1"/>
    <w:rPr>
      <w:rFonts w:ascii="Arial" w:eastAsia="Times New Roman" w:hAnsi="Arial" w:cs="Times New Roman"/>
      <w:sz w:val="20"/>
      <w:szCs w:val="20"/>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52005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Bad_Oeynhause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ad Oeynhausen">
      <a:majorFont>
        <a:latin typeface="Verdana"/>
        <a:ea typeface=""/>
        <a:cs typeface=""/>
      </a:majorFont>
      <a:minorFont>
        <a:latin typeface="Verdana"/>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567</Words>
  <Characters>3576</Characters>
  <Application>Microsoft Office Word</Application>
  <DocSecurity>4</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Stadt Bad Oeynhausen</Company>
  <LinksUpToDate>false</LinksUpToDate>
  <CharactersWithSpaces>4135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Vornheder, Kerstin (Stadt Bad Oeynhausen)</dc:creator>
  <cp:keywords/>
  <dc:description/>
  <cp:lastModifiedBy>Hanke, Irina-Jasmin (Stadt Bad Oeynhausen)</cp:lastModifiedBy>
  <cp:revision>2</cp:revision>
  <dcterms:created xsi:type="dcterms:W3CDTF">2022-04-25T08:57:00Z</dcterms:created>
  <dcterms:modified xsi:type="dcterms:W3CDTF">2022-04-25T08:57:00Z</dcterms:modified>
</cp:coreProperties>
</file>